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C983" w14:textId="77777777" w:rsidR="00186A8D" w:rsidRDefault="00186A8D" w:rsidP="00186A8D">
      <w:pPr>
        <w:pStyle w:val="Nadpis1"/>
      </w:pPr>
      <w:bookmarkStart w:id="0" w:name="_Toc221021529"/>
      <w:r w:rsidRPr="00F471BA">
        <w:t>Chovný cíl</w:t>
      </w:r>
      <w:bookmarkEnd w:id="0"/>
    </w:p>
    <w:p w14:paraId="790D84C6" w14:textId="77777777" w:rsidR="00186A8D" w:rsidRPr="00577B7A" w:rsidRDefault="00186A8D" w:rsidP="00186A8D"/>
    <w:p w14:paraId="16AB8622" w14:textId="77777777" w:rsidR="00186A8D" w:rsidRPr="00F471BA" w:rsidRDefault="00186A8D" w:rsidP="00186A8D">
      <w:pPr>
        <w:jc w:val="both"/>
        <w:rPr>
          <w:rFonts w:ascii="Times New Roman" w:hAnsi="Times New Roman" w:cs="Times New Roman"/>
          <w:sz w:val="24"/>
          <w:szCs w:val="24"/>
        </w:rPr>
      </w:pPr>
      <w:r w:rsidRPr="00F471BA">
        <w:rPr>
          <w:rFonts w:ascii="Times New Roman" w:hAnsi="Times New Roman" w:cs="Times New Roman"/>
          <w:sz w:val="24"/>
          <w:szCs w:val="24"/>
        </w:rPr>
        <w:t xml:space="preserve">Chovný cíl a standard plemene stanovuje Svaz chovatelů a příznivců moravského teplokrevníka. </w:t>
      </w:r>
    </w:p>
    <w:p w14:paraId="4D4596E6" w14:textId="77777777" w:rsidR="00186A8D" w:rsidRPr="00577B7A" w:rsidRDefault="00186A8D" w:rsidP="00186A8D">
      <w:pPr>
        <w:jc w:val="both"/>
        <w:rPr>
          <w:rFonts w:ascii="Times New Roman" w:hAnsi="Times New Roman" w:cs="Times New Roman"/>
          <w:sz w:val="24"/>
          <w:szCs w:val="24"/>
        </w:rPr>
      </w:pPr>
      <w:r w:rsidRPr="00F471BA">
        <w:rPr>
          <w:rFonts w:ascii="Times New Roman" w:hAnsi="Times New Roman" w:cs="Times New Roman"/>
          <w:sz w:val="24"/>
          <w:szCs w:val="24"/>
        </w:rPr>
        <w:t xml:space="preserve"> Chovným cílem moravského teplokrevníka je ušlechtilý teplokrevný kůň středního rámce chovaný na bázi původních rakousko-uherských kmenů s přihlédnutím ke kmenové příslušnosti. Kůň pozdně dospívající, ale dlouhověký, konstitučně tvrdý, dobře krmitelný, pevného zdraví, lehce ovladatelný, současně ale pracovitý a spolehlivý s vyrovnaným, klidným charakterem a mnohostranným využitím jak pod sedlem, tak v zápřeži, nesoucí co nejúplnější genetickou informaci svého plemene.</w:t>
      </w:r>
    </w:p>
    <w:p w14:paraId="01BAD983" w14:textId="77777777" w:rsidR="00186A8D" w:rsidRDefault="00186A8D" w:rsidP="00186A8D">
      <w:pPr>
        <w:pStyle w:val="Nadpis2"/>
        <w:numPr>
          <w:ilvl w:val="1"/>
          <w:numId w:val="1"/>
        </w:numPr>
        <w:tabs>
          <w:tab w:val="num" w:pos="360"/>
        </w:tabs>
        <w:spacing w:after="240"/>
        <w:ind w:left="0" w:firstLine="0"/>
      </w:pPr>
      <w:r>
        <w:t xml:space="preserve">  </w:t>
      </w:r>
      <w:bookmarkStart w:id="1" w:name="_Toc221021530"/>
      <w:r w:rsidRPr="00F471BA">
        <w:t xml:space="preserve">Kmen </w:t>
      </w:r>
      <w:proofErr w:type="spellStart"/>
      <w:r w:rsidRPr="00F471BA">
        <w:t>Furios</w:t>
      </w:r>
      <w:r>
        <w:t>o</w:t>
      </w:r>
      <w:bookmarkEnd w:id="1"/>
      <w:proofErr w:type="spellEnd"/>
    </w:p>
    <w:p w14:paraId="783735E7" w14:textId="77777777" w:rsidR="00186A8D" w:rsidRPr="00577B7A" w:rsidRDefault="00186A8D" w:rsidP="00186A8D">
      <w:pPr>
        <w:jc w:val="both"/>
        <w:rPr>
          <w:rFonts w:ascii="Times New Roman" w:hAnsi="Times New Roman" w:cs="Times New Roman"/>
          <w:sz w:val="24"/>
          <w:szCs w:val="24"/>
        </w:rPr>
      </w:pPr>
      <w:r w:rsidRPr="00577B7A">
        <w:rPr>
          <w:rFonts w:ascii="Times New Roman" w:hAnsi="Times New Roman" w:cs="Times New Roman"/>
          <w:sz w:val="24"/>
          <w:szCs w:val="24"/>
        </w:rPr>
        <w:t>je středně vysoký a mohutný teplokrevník. Vyžaduje se rovná hlava, pravidelný, přiměřeně dlouhý, svalnatý krk. Kohoutek je výrazný.  Horní linie je pevná, středně dlouhá. Hloubka hrudníku je přiměřená. Záď je přiměřeně mohutná, oválná, dlouhá. Fundament je suchý, kostnatý, přičemž jsou klouby a šlachy výrazné a suché. Spěnka je středně dlouhá, pevná a pružná. Kopyta jsou přiměřeně široká, dobře úhlovaná a pevná.</w:t>
      </w:r>
    </w:p>
    <w:p w14:paraId="791BCB6A" w14:textId="77777777" w:rsidR="00186A8D" w:rsidRPr="00577B7A" w:rsidRDefault="00186A8D" w:rsidP="00186A8D">
      <w:pPr>
        <w:pStyle w:val="Nadpis2"/>
        <w:numPr>
          <w:ilvl w:val="1"/>
          <w:numId w:val="1"/>
        </w:numPr>
        <w:tabs>
          <w:tab w:val="num" w:pos="360"/>
        </w:tabs>
        <w:ind w:left="0" w:firstLine="0"/>
      </w:pPr>
      <w:r>
        <w:t xml:space="preserve">  </w:t>
      </w:r>
      <w:bookmarkStart w:id="2" w:name="_Toc221021531"/>
      <w:r w:rsidRPr="00577B7A">
        <w:t xml:space="preserve">Kmen </w:t>
      </w:r>
      <w:proofErr w:type="spellStart"/>
      <w:r w:rsidRPr="00577B7A">
        <w:t>Przedswit</w:t>
      </w:r>
      <w:proofErr w:type="spellEnd"/>
      <w:r>
        <w:t xml:space="preserve"> </w:t>
      </w:r>
      <w:r w:rsidRPr="00F471BA">
        <w:t>je chován</w:t>
      </w:r>
      <w:r>
        <w:t xml:space="preserve"> ve dvou liniích</w:t>
      </w:r>
      <w:bookmarkEnd w:id="2"/>
    </w:p>
    <w:p w14:paraId="3A579306" w14:textId="77777777" w:rsidR="00186A8D" w:rsidRDefault="00186A8D" w:rsidP="00186A8D">
      <w:pPr>
        <w:pStyle w:val="Nadpis2"/>
        <w:rPr>
          <w:rFonts w:cs="Times New Roman"/>
          <w:sz w:val="24"/>
          <w:szCs w:val="24"/>
        </w:rPr>
      </w:pPr>
    </w:p>
    <w:p w14:paraId="4CB02E36" w14:textId="77777777" w:rsidR="00186A8D" w:rsidRPr="00577B7A" w:rsidRDefault="00186A8D" w:rsidP="00186A8D">
      <w:pPr>
        <w:pStyle w:val="Odstavecseseznamem"/>
        <w:keepNext/>
        <w:keepLines/>
        <w:numPr>
          <w:ilvl w:val="1"/>
          <w:numId w:val="0"/>
        </w:numPr>
        <w:spacing w:before="240" w:after="0"/>
        <w:ind w:left="792" w:hanging="432"/>
        <w:contextualSpacing w:val="0"/>
        <w:outlineLvl w:val="0"/>
        <w:rPr>
          <w:rFonts w:ascii="Times New Roman" w:eastAsiaTheme="majorEastAsia" w:hAnsi="Times New Roman" w:cstheme="majorBidi"/>
          <w:b/>
          <w:vanish/>
          <w:color w:val="663300"/>
          <w:sz w:val="32"/>
          <w:szCs w:val="32"/>
        </w:rPr>
      </w:pPr>
      <w:bookmarkStart w:id="3" w:name="_Toc218112818"/>
      <w:bookmarkStart w:id="4" w:name="_Toc218113137"/>
      <w:bookmarkStart w:id="5" w:name="_Toc218114062"/>
      <w:bookmarkStart w:id="6" w:name="_Toc218114193"/>
      <w:bookmarkStart w:id="7" w:name="_Toc221016985"/>
      <w:bookmarkStart w:id="8" w:name="_Toc221021532"/>
      <w:bookmarkEnd w:id="3"/>
      <w:bookmarkEnd w:id="4"/>
      <w:bookmarkEnd w:id="5"/>
      <w:bookmarkEnd w:id="6"/>
      <w:bookmarkEnd w:id="7"/>
      <w:bookmarkEnd w:id="8"/>
    </w:p>
    <w:p w14:paraId="1DE9B013" w14:textId="77777777" w:rsidR="00186A8D" w:rsidRPr="00577B7A" w:rsidRDefault="00186A8D" w:rsidP="00186A8D">
      <w:pPr>
        <w:pStyle w:val="Odstavecseseznamem"/>
        <w:keepNext/>
        <w:keepLines/>
        <w:numPr>
          <w:ilvl w:val="1"/>
          <w:numId w:val="0"/>
        </w:numPr>
        <w:spacing w:before="240" w:after="0"/>
        <w:ind w:left="792" w:hanging="432"/>
        <w:contextualSpacing w:val="0"/>
        <w:outlineLvl w:val="0"/>
        <w:rPr>
          <w:rFonts w:ascii="Times New Roman" w:eastAsiaTheme="majorEastAsia" w:hAnsi="Times New Roman" w:cstheme="majorBidi"/>
          <w:b/>
          <w:vanish/>
          <w:color w:val="663300"/>
          <w:sz w:val="32"/>
          <w:szCs w:val="32"/>
        </w:rPr>
      </w:pPr>
      <w:bookmarkStart w:id="9" w:name="_Toc218112819"/>
      <w:bookmarkStart w:id="10" w:name="_Toc218113138"/>
      <w:bookmarkStart w:id="11" w:name="_Toc218114063"/>
      <w:bookmarkStart w:id="12" w:name="_Toc218114194"/>
      <w:bookmarkStart w:id="13" w:name="_Toc221016986"/>
      <w:bookmarkStart w:id="14" w:name="_Toc221021533"/>
      <w:bookmarkEnd w:id="9"/>
      <w:bookmarkEnd w:id="10"/>
      <w:bookmarkEnd w:id="11"/>
      <w:bookmarkEnd w:id="12"/>
      <w:bookmarkEnd w:id="13"/>
      <w:bookmarkEnd w:id="14"/>
    </w:p>
    <w:p w14:paraId="2914964E" w14:textId="77777777" w:rsidR="00186A8D" w:rsidRDefault="00186A8D" w:rsidP="00186A8D">
      <w:pPr>
        <w:pStyle w:val="Nadpis3"/>
      </w:pPr>
      <w:bookmarkStart w:id="15" w:name="_Toc221021534"/>
      <w:r w:rsidRPr="00577B7A">
        <w:t xml:space="preserve">Hnědá linie </w:t>
      </w:r>
      <w:proofErr w:type="spellStart"/>
      <w:r w:rsidRPr="00577B7A">
        <w:t>Przedswit</w:t>
      </w:r>
      <w:proofErr w:type="spellEnd"/>
      <w:r w:rsidRPr="00577B7A">
        <w:t xml:space="preserve"> VIII – </w:t>
      </w:r>
      <w:proofErr w:type="spellStart"/>
      <w:r w:rsidRPr="00577B7A">
        <w:t>Pib</w:t>
      </w:r>
      <w:proofErr w:type="spellEnd"/>
      <w:r w:rsidRPr="00577B7A">
        <w:t>.</w:t>
      </w:r>
      <w:bookmarkEnd w:id="15"/>
    </w:p>
    <w:p w14:paraId="15D6FA2B" w14:textId="77777777" w:rsidR="00186A8D" w:rsidRDefault="00186A8D" w:rsidP="00186A8D">
      <w:pPr>
        <w:spacing w:after="0"/>
        <w:jc w:val="both"/>
        <w:rPr>
          <w:rFonts w:ascii="Times New Roman" w:hAnsi="Times New Roman" w:cs="Times New Roman"/>
          <w:sz w:val="24"/>
          <w:szCs w:val="24"/>
        </w:rPr>
      </w:pPr>
      <w:r w:rsidRPr="00FD2F5A">
        <w:rPr>
          <w:rFonts w:ascii="Times New Roman" w:hAnsi="Times New Roman" w:cs="Times New Roman"/>
          <w:sz w:val="24"/>
          <w:szCs w:val="24"/>
        </w:rPr>
        <w:t>je zavalitější a má hranatější stavbu těla. Vyznačují se suchou, někdy i těžší hlavou, dlouhým silným krkem. Hřbet je pevný, středně dlouhý. Hrudník je hluboký a široký. Záď je široká a delší. Fundament je suchý, kostnatý, přičemž jsou klouby a šlachy výrazné a suché. Spěnka je středně dlouhá, pevná a pružná. Kopyta jsou přiměřeně široká, dobře úhlovaná a pevná.</w:t>
      </w:r>
      <w:r>
        <w:rPr>
          <w:rFonts w:ascii="Times New Roman" w:hAnsi="Times New Roman" w:cs="Times New Roman"/>
          <w:sz w:val="24"/>
          <w:szCs w:val="24"/>
        </w:rPr>
        <w:t xml:space="preserve"> Chovaní koně jsou převážně hnědáci, méně ryzáci, bělouši a vraníci.</w:t>
      </w:r>
    </w:p>
    <w:p w14:paraId="7347F033" w14:textId="77777777" w:rsidR="00186A8D" w:rsidRPr="00577B7A" w:rsidRDefault="00186A8D" w:rsidP="00186A8D"/>
    <w:p w14:paraId="29D6D7A7" w14:textId="77777777" w:rsidR="00186A8D" w:rsidRPr="00FD2F5A" w:rsidRDefault="00186A8D" w:rsidP="00186A8D">
      <w:pPr>
        <w:pStyle w:val="Nadpis3"/>
      </w:pPr>
      <w:bookmarkStart w:id="16" w:name="_Toc221021535"/>
      <w:r w:rsidRPr="00F471BA">
        <w:t xml:space="preserve">Ryzá linie </w:t>
      </w:r>
      <w:proofErr w:type="spellStart"/>
      <w:r w:rsidRPr="00F471BA">
        <w:t>Przedswit</w:t>
      </w:r>
      <w:proofErr w:type="spellEnd"/>
      <w:r w:rsidRPr="00F471BA">
        <w:t xml:space="preserve"> III K (VII Rad.)</w:t>
      </w:r>
      <w:bookmarkEnd w:id="16"/>
      <w:r w:rsidRPr="00F471BA">
        <w:t xml:space="preserve"> </w:t>
      </w:r>
    </w:p>
    <w:p w14:paraId="321BF6B6" w14:textId="77777777" w:rsidR="00186A8D" w:rsidRDefault="00186A8D" w:rsidP="00186A8D">
      <w:pPr>
        <w:jc w:val="both"/>
        <w:rPr>
          <w:rFonts w:ascii="Times New Roman" w:hAnsi="Times New Roman" w:cs="Times New Roman"/>
          <w:sz w:val="24"/>
          <w:szCs w:val="24"/>
        </w:rPr>
      </w:pPr>
      <w:r w:rsidRPr="00F471BA">
        <w:rPr>
          <w:rFonts w:ascii="Times New Roman" w:hAnsi="Times New Roman" w:cs="Times New Roman"/>
          <w:sz w:val="24"/>
          <w:szCs w:val="24"/>
        </w:rPr>
        <w:t>je celkově ušlechtilejší. Vyžaduje se rovná hlava, pravidelný, přiměřeně dlouhý, svalnatý krk s výrazným kohoutkem.  Horní linie je pevná, středně dlouhá. Hloubka hrudníku je přiměřená. Záď je přiměřeně mohutná, oválná, dlouhá. Fundament je suchý, kostnatý, přičemž jsou klouby a šlachy výrazné a suché. Spěnka je středně dlouhá, pevná a pružná. Kopyta jsou přiměřeně široká, dobře úhlovaná a pevná.</w:t>
      </w:r>
    </w:p>
    <w:p w14:paraId="75D4842C" w14:textId="77777777" w:rsidR="00186A8D" w:rsidRDefault="00186A8D" w:rsidP="00186A8D">
      <w:pPr>
        <w:pStyle w:val="Nadpis2"/>
        <w:numPr>
          <w:ilvl w:val="1"/>
          <w:numId w:val="1"/>
        </w:numPr>
        <w:tabs>
          <w:tab w:val="num" w:pos="360"/>
        </w:tabs>
        <w:ind w:left="0" w:firstLine="0"/>
      </w:pPr>
      <w:r>
        <w:t xml:space="preserve">  </w:t>
      </w:r>
      <w:bookmarkStart w:id="17" w:name="_Toc221021536"/>
      <w:r w:rsidRPr="00F471BA">
        <w:t xml:space="preserve">Kmen </w:t>
      </w:r>
      <w:proofErr w:type="spellStart"/>
      <w:r w:rsidRPr="00F471BA">
        <w:t>Gidran</w:t>
      </w:r>
      <w:bookmarkEnd w:id="17"/>
      <w:proofErr w:type="spellEnd"/>
      <w:r w:rsidRPr="00F471BA">
        <w:t xml:space="preserve"> </w:t>
      </w:r>
    </w:p>
    <w:p w14:paraId="74DF86F0" w14:textId="77777777" w:rsidR="00186A8D" w:rsidRPr="00F471BA" w:rsidRDefault="00186A8D" w:rsidP="00186A8D">
      <w:pPr>
        <w:spacing w:after="0"/>
        <w:jc w:val="both"/>
        <w:rPr>
          <w:rFonts w:ascii="Times New Roman" w:hAnsi="Times New Roman" w:cs="Times New Roman"/>
          <w:sz w:val="24"/>
          <w:szCs w:val="24"/>
        </w:rPr>
      </w:pPr>
      <w:r w:rsidRPr="00F471BA">
        <w:rPr>
          <w:rFonts w:ascii="Times New Roman" w:hAnsi="Times New Roman" w:cs="Times New Roman"/>
          <w:sz w:val="24"/>
          <w:szCs w:val="24"/>
        </w:rPr>
        <w:t xml:space="preserve">je charakterizován jako ušlechtilý, harmonický jezdecký kůň, středního obdélníkového rámce. Hlava může být i mírně těžší s širšími </w:t>
      </w:r>
      <w:proofErr w:type="spellStart"/>
      <w:r w:rsidRPr="00F471BA">
        <w:rPr>
          <w:rFonts w:ascii="Times New Roman" w:hAnsi="Times New Roman" w:cs="Times New Roman"/>
          <w:sz w:val="24"/>
          <w:szCs w:val="24"/>
        </w:rPr>
        <w:t>žuchvami</w:t>
      </w:r>
      <w:proofErr w:type="spellEnd"/>
      <w:r w:rsidRPr="00F471BA">
        <w:rPr>
          <w:rFonts w:ascii="Times New Roman" w:hAnsi="Times New Roman" w:cs="Times New Roman"/>
          <w:sz w:val="24"/>
          <w:szCs w:val="24"/>
        </w:rPr>
        <w:t xml:space="preserve">.  Krk je přiměřeně dlouhý, svalnatý s výrazným kohoutkem.  Horní linie je pevná, středně dlouhá. Hrudník je přiměřeně hluboký. Záď je přiměřeně mohutná, rovnější, dlouhá. Fundament je suchý, kostnatý, přičemž jsou klouby a šlachy výrazné a suché. Spěnka je středně dlouhá, pevná a pružná. Kopyta jsou přiměřeně </w:t>
      </w:r>
      <w:r w:rsidRPr="00F471BA">
        <w:rPr>
          <w:rFonts w:ascii="Times New Roman" w:hAnsi="Times New Roman" w:cs="Times New Roman"/>
          <w:sz w:val="24"/>
          <w:szCs w:val="24"/>
        </w:rPr>
        <w:lastRenderedPageBreak/>
        <w:t xml:space="preserve">široká, dobře úhlovaná a pevná. Chovaní koně jsou převážně </w:t>
      </w:r>
      <w:r>
        <w:rPr>
          <w:rFonts w:ascii="Times New Roman" w:hAnsi="Times New Roman" w:cs="Times New Roman"/>
          <w:sz w:val="24"/>
          <w:szCs w:val="24"/>
        </w:rPr>
        <w:t>ryzáci</w:t>
      </w:r>
      <w:r w:rsidRPr="00F471BA">
        <w:rPr>
          <w:rFonts w:ascii="Times New Roman" w:hAnsi="Times New Roman" w:cs="Times New Roman"/>
          <w:sz w:val="24"/>
          <w:szCs w:val="24"/>
        </w:rPr>
        <w:t xml:space="preserve">, dále </w:t>
      </w:r>
      <w:r>
        <w:rPr>
          <w:rFonts w:ascii="Times New Roman" w:hAnsi="Times New Roman" w:cs="Times New Roman"/>
          <w:sz w:val="24"/>
          <w:szCs w:val="24"/>
        </w:rPr>
        <w:t>hnědáci,</w:t>
      </w:r>
      <w:r w:rsidRPr="00F471BA">
        <w:rPr>
          <w:rFonts w:ascii="Times New Roman" w:hAnsi="Times New Roman" w:cs="Times New Roman"/>
          <w:sz w:val="24"/>
          <w:szCs w:val="24"/>
        </w:rPr>
        <w:t xml:space="preserve"> méně bělouši a vraníci.</w:t>
      </w:r>
    </w:p>
    <w:p w14:paraId="3E48A83D" w14:textId="77777777" w:rsidR="00186A8D" w:rsidRDefault="00186A8D" w:rsidP="00186A8D">
      <w:pPr>
        <w:spacing w:after="0"/>
        <w:jc w:val="both"/>
        <w:rPr>
          <w:rFonts w:ascii="Times New Roman" w:hAnsi="Times New Roman" w:cs="Times New Roman"/>
          <w:sz w:val="24"/>
          <w:szCs w:val="24"/>
        </w:rPr>
      </w:pPr>
    </w:p>
    <w:p w14:paraId="046AFA2A" w14:textId="77777777" w:rsidR="00186A8D" w:rsidRDefault="00186A8D" w:rsidP="00186A8D">
      <w:pPr>
        <w:spacing w:after="0"/>
        <w:jc w:val="both"/>
        <w:rPr>
          <w:rFonts w:ascii="Times New Roman" w:hAnsi="Times New Roman" w:cs="Times New Roman"/>
          <w:sz w:val="24"/>
          <w:szCs w:val="24"/>
        </w:rPr>
      </w:pPr>
    </w:p>
    <w:p w14:paraId="170BD41C" w14:textId="77777777" w:rsidR="00186A8D" w:rsidRDefault="00186A8D" w:rsidP="00186A8D">
      <w:pPr>
        <w:spacing w:after="0"/>
        <w:jc w:val="both"/>
        <w:rPr>
          <w:rFonts w:ascii="Times New Roman" w:hAnsi="Times New Roman" w:cs="Times New Roman"/>
          <w:sz w:val="24"/>
          <w:szCs w:val="24"/>
        </w:rPr>
      </w:pPr>
    </w:p>
    <w:p w14:paraId="3BD4E826" w14:textId="77777777" w:rsidR="00186A8D" w:rsidRDefault="00186A8D" w:rsidP="00186A8D">
      <w:pPr>
        <w:spacing w:after="0"/>
        <w:jc w:val="both"/>
        <w:rPr>
          <w:rFonts w:ascii="Times New Roman" w:hAnsi="Times New Roman" w:cs="Times New Roman"/>
          <w:sz w:val="24"/>
          <w:szCs w:val="24"/>
        </w:rPr>
      </w:pPr>
    </w:p>
    <w:p w14:paraId="71DAD98F" w14:textId="77777777" w:rsidR="00186A8D" w:rsidRDefault="00186A8D" w:rsidP="00186A8D">
      <w:pPr>
        <w:spacing w:after="0"/>
        <w:jc w:val="both"/>
        <w:rPr>
          <w:rFonts w:ascii="Times New Roman" w:hAnsi="Times New Roman" w:cs="Times New Roman"/>
          <w:sz w:val="24"/>
          <w:szCs w:val="24"/>
        </w:rPr>
      </w:pPr>
    </w:p>
    <w:p w14:paraId="73D94865" w14:textId="77777777" w:rsidR="00186A8D" w:rsidRDefault="00186A8D" w:rsidP="00186A8D">
      <w:pPr>
        <w:spacing w:after="0"/>
        <w:jc w:val="both"/>
        <w:rPr>
          <w:rFonts w:ascii="Times New Roman" w:hAnsi="Times New Roman" w:cs="Times New Roman"/>
          <w:sz w:val="24"/>
          <w:szCs w:val="24"/>
        </w:rPr>
      </w:pPr>
    </w:p>
    <w:p w14:paraId="71BB37DC" w14:textId="77777777" w:rsidR="00186A8D" w:rsidRDefault="00186A8D" w:rsidP="00186A8D">
      <w:pPr>
        <w:spacing w:after="0"/>
        <w:jc w:val="both"/>
        <w:rPr>
          <w:rFonts w:ascii="Times New Roman" w:hAnsi="Times New Roman" w:cs="Times New Roman"/>
          <w:sz w:val="24"/>
          <w:szCs w:val="24"/>
        </w:rPr>
      </w:pPr>
    </w:p>
    <w:p w14:paraId="365AE5CA" w14:textId="77777777" w:rsidR="00186A8D" w:rsidRDefault="00186A8D" w:rsidP="00186A8D">
      <w:pPr>
        <w:spacing w:after="0"/>
        <w:jc w:val="both"/>
        <w:rPr>
          <w:rFonts w:ascii="Times New Roman" w:hAnsi="Times New Roman" w:cs="Times New Roman"/>
          <w:sz w:val="24"/>
          <w:szCs w:val="24"/>
        </w:rPr>
      </w:pPr>
    </w:p>
    <w:p w14:paraId="582E3B64" w14:textId="77777777" w:rsidR="00186A8D" w:rsidRDefault="00186A8D" w:rsidP="00186A8D">
      <w:pPr>
        <w:spacing w:after="0"/>
        <w:jc w:val="both"/>
        <w:rPr>
          <w:rFonts w:ascii="Times New Roman" w:hAnsi="Times New Roman" w:cs="Times New Roman"/>
          <w:sz w:val="24"/>
          <w:szCs w:val="24"/>
        </w:rPr>
      </w:pPr>
    </w:p>
    <w:p w14:paraId="00A95056" w14:textId="77777777" w:rsidR="00186A8D" w:rsidRPr="00F471BA" w:rsidRDefault="00186A8D" w:rsidP="00186A8D">
      <w:pPr>
        <w:pStyle w:val="Nadpis1"/>
      </w:pPr>
      <w:bookmarkStart w:id="18" w:name="_Toc221021537"/>
      <w:r w:rsidRPr="00F471BA">
        <w:t>Plemenný standard</w:t>
      </w:r>
      <w:bookmarkEnd w:id="18"/>
    </w:p>
    <w:p w14:paraId="7A7BA105" w14:textId="77777777" w:rsidR="00186A8D" w:rsidRPr="00F471BA" w:rsidRDefault="00186A8D" w:rsidP="00186A8D"/>
    <w:p w14:paraId="73DD3C58" w14:textId="77777777" w:rsidR="00186A8D" w:rsidRPr="00F471BA" w:rsidRDefault="00186A8D" w:rsidP="00186A8D">
      <w:pPr>
        <w:spacing w:after="0" w:line="240" w:lineRule="auto"/>
        <w:jc w:val="center"/>
        <w:rPr>
          <w:rFonts w:ascii="Times New Roman" w:eastAsia="Times New Roman" w:hAnsi="Times New Roman" w:cs="Times New Roman"/>
          <w:b/>
          <w:i/>
          <w:iCs/>
          <w:kern w:val="0"/>
          <w:sz w:val="24"/>
          <w:szCs w:val="24"/>
          <w14:ligatures w14:val="none"/>
        </w:rPr>
      </w:pPr>
      <w:r w:rsidRPr="00F471BA">
        <w:rPr>
          <w:rFonts w:ascii="Times New Roman" w:eastAsia="Times New Roman" w:hAnsi="Times New Roman" w:cs="Times New Roman"/>
          <w:b/>
          <w:i/>
          <w:iCs/>
          <w:kern w:val="0"/>
          <w:sz w:val="24"/>
          <w:szCs w:val="24"/>
          <w14:ligatures w14:val="none"/>
        </w:rPr>
        <w:t xml:space="preserve">Standard základních tělesných znaků ve 4 letech stáří pro hřebce a klisny </w:t>
      </w:r>
    </w:p>
    <w:p w14:paraId="0960E732" w14:textId="77777777" w:rsidR="00186A8D" w:rsidRPr="00F471BA" w:rsidRDefault="00186A8D" w:rsidP="00186A8D">
      <w:pPr>
        <w:spacing w:after="0" w:line="240" w:lineRule="auto"/>
        <w:jc w:val="center"/>
        <w:rPr>
          <w:rFonts w:ascii="Times New Roman" w:eastAsia="Times New Roman" w:hAnsi="Times New Roman" w:cs="Times New Roman"/>
          <w:b/>
          <w:i/>
          <w:iCs/>
          <w:kern w:val="0"/>
          <w:sz w:val="24"/>
          <w:szCs w:val="24"/>
          <w14:ligatures w14:val="none"/>
        </w:rPr>
      </w:pPr>
      <w:r w:rsidRPr="00F471BA">
        <w:rPr>
          <w:rFonts w:ascii="Times New Roman" w:eastAsia="Times New Roman" w:hAnsi="Times New Roman" w:cs="Times New Roman"/>
          <w:b/>
          <w:i/>
          <w:iCs/>
          <w:kern w:val="0"/>
          <w:sz w:val="24"/>
          <w:szCs w:val="24"/>
          <w14:ligatures w14:val="none"/>
        </w:rPr>
        <w:t>moravského teplokrevníka</w:t>
      </w:r>
    </w:p>
    <w:tbl>
      <w:tblPr>
        <w:tblW w:w="5093" w:type="dxa"/>
        <w:jc w:val="center"/>
        <w:tblCellMar>
          <w:left w:w="70" w:type="dxa"/>
          <w:right w:w="70" w:type="dxa"/>
        </w:tblCellMar>
        <w:tblLook w:val="0000" w:firstRow="0" w:lastRow="0" w:firstColumn="0" w:lastColumn="0" w:noHBand="0" w:noVBand="0"/>
      </w:tblPr>
      <w:tblGrid>
        <w:gridCol w:w="3439"/>
        <w:gridCol w:w="847"/>
        <w:gridCol w:w="807"/>
      </w:tblGrid>
      <w:tr w:rsidR="00186A8D" w:rsidRPr="00F471BA" w14:paraId="4CD8A381" w14:textId="77777777" w:rsidTr="0098154A">
        <w:trPr>
          <w:trHeight w:val="330"/>
          <w:jc w:val="center"/>
        </w:trPr>
        <w:tc>
          <w:tcPr>
            <w:tcW w:w="3439" w:type="dxa"/>
            <w:tcBorders>
              <w:top w:val="single" w:sz="8" w:space="0" w:color="auto"/>
              <w:left w:val="single" w:sz="8" w:space="0" w:color="auto"/>
              <w:bottom w:val="single" w:sz="8" w:space="0" w:color="auto"/>
              <w:right w:val="single" w:sz="8" w:space="0" w:color="auto"/>
            </w:tcBorders>
            <w:shd w:val="clear" w:color="auto" w:fill="8DD873" w:themeFill="accent6" w:themeFillTint="99"/>
            <w:vAlign w:val="bottom"/>
          </w:tcPr>
          <w:p w14:paraId="659219F1" w14:textId="77777777" w:rsidR="00186A8D" w:rsidRPr="00F471BA" w:rsidRDefault="00186A8D" w:rsidP="0098154A">
            <w:pPr>
              <w:spacing w:after="200" w:line="276" w:lineRule="auto"/>
              <w:jc w:val="both"/>
              <w:rPr>
                <w:rFonts w:ascii="Times New Roman" w:eastAsia="Times New Roman" w:hAnsi="Times New Roman" w:cs="Times New Roman"/>
                <w:b/>
                <w:bCs/>
                <w:color w:val="000000"/>
                <w:kern w:val="0"/>
                <w:sz w:val="24"/>
                <w:szCs w:val="24"/>
                <w:lang w:eastAsia="cs-CZ"/>
                <w14:ligatures w14:val="none"/>
              </w:rPr>
            </w:pPr>
            <w:r w:rsidRPr="00F471BA">
              <w:rPr>
                <w:rFonts w:ascii="Times New Roman" w:eastAsia="Times New Roman" w:hAnsi="Times New Roman" w:cs="Times New Roman"/>
                <w:b/>
                <w:bCs/>
                <w:color w:val="000000"/>
                <w:kern w:val="0"/>
                <w:sz w:val="24"/>
                <w:szCs w:val="24"/>
                <w:lang w:eastAsia="cs-CZ"/>
                <w14:ligatures w14:val="none"/>
              </w:rPr>
              <w:t>Míry [cm]</w:t>
            </w:r>
          </w:p>
        </w:tc>
        <w:tc>
          <w:tcPr>
            <w:tcW w:w="847" w:type="dxa"/>
            <w:tcBorders>
              <w:top w:val="single" w:sz="8" w:space="0" w:color="auto"/>
              <w:left w:val="nil"/>
              <w:bottom w:val="single" w:sz="8" w:space="0" w:color="auto"/>
            </w:tcBorders>
            <w:shd w:val="clear" w:color="auto" w:fill="8DD873" w:themeFill="accent6" w:themeFillTint="99"/>
            <w:vAlign w:val="bottom"/>
          </w:tcPr>
          <w:p w14:paraId="30FA15E8" w14:textId="77777777" w:rsidR="00186A8D" w:rsidRPr="00F471BA" w:rsidRDefault="00186A8D" w:rsidP="0098154A">
            <w:pPr>
              <w:spacing w:after="200" w:line="276" w:lineRule="auto"/>
              <w:jc w:val="both"/>
              <w:rPr>
                <w:rFonts w:ascii="Times New Roman" w:eastAsia="Times New Roman" w:hAnsi="Times New Roman" w:cs="Times New Roman"/>
                <w:b/>
                <w:bCs/>
                <w:color w:val="000000"/>
                <w:kern w:val="0"/>
                <w:sz w:val="24"/>
                <w:szCs w:val="24"/>
                <w:lang w:eastAsia="cs-CZ"/>
                <w14:ligatures w14:val="none"/>
              </w:rPr>
            </w:pPr>
            <w:r w:rsidRPr="00F471BA">
              <w:rPr>
                <w:rFonts w:ascii="Times New Roman" w:eastAsia="Times New Roman" w:hAnsi="Times New Roman" w:cs="Times New Roman"/>
                <w:b/>
                <w:bCs/>
                <w:color w:val="000000"/>
                <w:kern w:val="0"/>
                <w:sz w:val="24"/>
                <w:szCs w:val="24"/>
                <w:lang w:eastAsia="cs-CZ"/>
                <w14:ligatures w14:val="none"/>
              </w:rPr>
              <w:t>Hřebci</w:t>
            </w:r>
          </w:p>
        </w:tc>
        <w:tc>
          <w:tcPr>
            <w:tcW w:w="807" w:type="dxa"/>
            <w:tcBorders>
              <w:top w:val="single" w:sz="8" w:space="0" w:color="auto"/>
              <w:left w:val="nil"/>
              <w:bottom w:val="single" w:sz="8" w:space="0" w:color="auto"/>
            </w:tcBorders>
            <w:shd w:val="clear" w:color="auto" w:fill="8DD873" w:themeFill="accent6" w:themeFillTint="99"/>
            <w:vAlign w:val="bottom"/>
          </w:tcPr>
          <w:p w14:paraId="05273994" w14:textId="77777777" w:rsidR="00186A8D" w:rsidRPr="00F471BA" w:rsidRDefault="00186A8D" w:rsidP="0098154A">
            <w:pPr>
              <w:spacing w:after="200" w:line="276" w:lineRule="auto"/>
              <w:jc w:val="both"/>
              <w:rPr>
                <w:rFonts w:ascii="Times New Roman" w:eastAsia="Times New Roman" w:hAnsi="Times New Roman" w:cs="Times New Roman"/>
                <w:b/>
                <w:bCs/>
                <w:color w:val="000000"/>
                <w:kern w:val="0"/>
                <w:sz w:val="24"/>
                <w:szCs w:val="24"/>
                <w:lang w:eastAsia="cs-CZ"/>
                <w14:ligatures w14:val="none"/>
              </w:rPr>
            </w:pPr>
            <w:r w:rsidRPr="00F471BA">
              <w:rPr>
                <w:rFonts w:ascii="Times New Roman" w:eastAsia="Times New Roman" w:hAnsi="Times New Roman" w:cs="Times New Roman"/>
                <w:b/>
                <w:bCs/>
                <w:color w:val="000000"/>
                <w:kern w:val="0"/>
                <w:sz w:val="24"/>
                <w:szCs w:val="24"/>
                <w:lang w:eastAsia="cs-CZ"/>
                <w14:ligatures w14:val="none"/>
              </w:rPr>
              <w:t>Klisny</w:t>
            </w:r>
          </w:p>
        </w:tc>
      </w:tr>
      <w:tr w:rsidR="00186A8D" w:rsidRPr="00F471BA" w14:paraId="4D8ED1A0" w14:textId="77777777" w:rsidTr="0098154A">
        <w:trPr>
          <w:trHeight w:val="330"/>
          <w:jc w:val="center"/>
        </w:trPr>
        <w:tc>
          <w:tcPr>
            <w:tcW w:w="3439" w:type="dxa"/>
            <w:tcBorders>
              <w:top w:val="nil"/>
              <w:left w:val="single" w:sz="8" w:space="0" w:color="auto"/>
              <w:bottom w:val="double" w:sz="6" w:space="0" w:color="auto"/>
              <w:right w:val="single" w:sz="8" w:space="0" w:color="auto"/>
            </w:tcBorders>
            <w:noWrap/>
            <w:vAlign w:val="bottom"/>
          </w:tcPr>
          <w:p w14:paraId="2E05634E" w14:textId="77777777" w:rsidR="00186A8D" w:rsidRPr="00F471BA" w:rsidRDefault="00186A8D" w:rsidP="0098154A">
            <w:pPr>
              <w:spacing w:after="200" w:line="276" w:lineRule="auto"/>
              <w:jc w:val="both"/>
              <w:rPr>
                <w:rFonts w:ascii="Times New Roman" w:eastAsia="Times New Roman" w:hAnsi="Times New Roman" w:cs="Times New Roman"/>
                <w:b/>
                <w:bCs/>
                <w:color w:val="000000"/>
                <w:kern w:val="0"/>
                <w:sz w:val="24"/>
                <w:szCs w:val="24"/>
                <w:lang w:eastAsia="cs-CZ"/>
                <w14:ligatures w14:val="none"/>
              </w:rPr>
            </w:pPr>
            <w:r w:rsidRPr="00F471BA">
              <w:rPr>
                <w:rFonts w:ascii="Times New Roman" w:eastAsia="Times New Roman" w:hAnsi="Times New Roman" w:cs="Times New Roman"/>
                <w:b/>
                <w:bCs/>
                <w:color w:val="000000"/>
                <w:kern w:val="0"/>
                <w:sz w:val="24"/>
                <w:szCs w:val="24"/>
                <w:lang w:eastAsia="cs-CZ"/>
                <w14:ligatures w14:val="none"/>
              </w:rPr>
              <w:t> </w:t>
            </w:r>
          </w:p>
        </w:tc>
        <w:tc>
          <w:tcPr>
            <w:tcW w:w="847" w:type="dxa"/>
            <w:tcBorders>
              <w:top w:val="nil"/>
              <w:left w:val="nil"/>
              <w:bottom w:val="double" w:sz="6" w:space="0" w:color="auto"/>
              <w:right w:val="single" w:sz="8" w:space="0" w:color="auto"/>
            </w:tcBorders>
            <w:shd w:val="clear" w:color="auto" w:fill="8DD873" w:themeFill="accent6" w:themeFillTint="99"/>
            <w:noWrap/>
            <w:vAlign w:val="bottom"/>
          </w:tcPr>
          <w:p w14:paraId="1FBF8034" w14:textId="77777777" w:rsidR="00186A8D" w:rsidRPr="00F471BA" w:rsidRDefault="00186A8D" w:rsidP="0098154A">
            <w:pPr>
              <w:spacing w:after="200" w:line="276" w:lineRule="auto"/>
              <w:jc w:val="both"/>
              <w:rPr>
                <w:rFonts w:ascii="Times New Roman" w:eastAsia="Times New Roman" w:hAnsi="Times New Roman" w:cs="Times New Roman"/>
                <w:b/>
                <w:bCs/>
                <w:i/>
                <w:iCs/>
                <w:color w:val="000000"/>
                <w:kern w:val="0"/>
                <w:sz w:val="24"/>
                <w:szCs w:val="24"/>
                <w:lang w:eastAsia="cs-CZ"/>
                <w14:ligatures w14:val="none"/>
              </w:rPr>
            </w:pPr>
            <w:r w:rsidRPr="00F471BA">
              <w:rPr>
                <w:rFonts w:ascii="Times New Roman" w:eastAsia="Times New Roman" w:hAnsi="Times New Roman" w:cs="Times New Roman"/>
                <w:b/>
                <w:bCs/>
                <w:i/>
                <w:iCs/>
                <w:color w:val="000000"/>
                <w:kern w:val="0"/>
                <w:sz w:val="24"/>
                <w:szCs w:val="24"/>
                <w:lang w:eastAsia="cs-CZ"/>
                <w14:ligatures w14:val="none"/>
              </w:rPr>
              <w:t>Min.</w:t>
            </w:r>
          </w:p>
        </w:tc>
        <w:tc>
          <w:tcPr>
            <w:tcW w:w="807" w:type="dxa"/>
            <w:tcBorders>
              <w:top w:val="nil"/>
              <w:left w:val="nil"/>
              <w:bottom w:val="double" w:sz="6" w:space="0" w:color="auto"/>
              <w:right w:val="single" w:sz="8" w:space="0" w:color="auto"/>
            </w:tcBorders>
            <w:shd w:val="clear" w:color="auto" w:fill="8DD873" w:themeFill="accent6" w:themeFillTint="99"/>
            <w:noWrap/>
            <w:vAlign w:val="bottom"/>
          </w:tcPr>
          <w:p w14:paraId="10A60EB4" w14:textId="77777777" w:rsidR="00186A8D" w:rsidRPr="00F471BA" w:rsidRDefault="00186A8D" w:rsidP="0098154A">
            <w:pPr>
              <w:spacing w:after="200" w:line="276" w:lineRule="auto"/>
              <w:jc w:val="both"/>
              <w:rPr>
                <w:rFonts w:ascii="Times New Roman" w:eastAsia="Times New Roman" w:hAnsi="Times New Roman" w:cs="Times New Roman"/>
                <w:b/>
                <w:bCs/>
                <w:i/>
                <w:iCs/>
                <w:color w:val="000000"/>
                <w:kern w:val="0"/>
                <w:sz w:val="24"/>
                <w:szCs w:val="24"/>
                <w:lang w:eastAsia="cs-CZ"/>
                <w14:ligatures w14:val="none"/>
              </w:rPr>
            </w:pPr>
            <w:r w:rsidRPr="00F471BA">
              <w:rPr>
                <w:rFonts w:ascii="Times New Roman" w:eastAsia="Times New Roman" w:hAnsi="Times New Roman" w:cs="Times New Roman"/>
                <w:b/>
                <w:bCs/>
                <w:i/>
                <w:iCs/>
                <w:color w:val="000000"/>
                <w:kern w:val="0"/>
                <w:sz w:val="24"/>
                <w:szCs w:val="24"/>
                <w:lang w:eastAsia="cs-CZ"/>
                <w14:ligatures w14:val="none"/>
              </w:rPr>
              <w:t>Min.</w:t>
            </w:r>
          </w:p>
        </w:tc>
      </w:tr>
      <w:tr w:rsidR="00186A8D" w:rsidRPr="00F471BA" w14:paraId="16D43360" w14:textId="77777777" w:rsidTr="0098154A">
        <w:trPr>
          <w:trHeight w:val="345"/>
          <w:jc w:val="center"/>
        </w:trPr>
        <w:tc>
          <w:tcPr>
            <w:tcW w:w="3439" w:type="dxa"/>
            <w:tcBorders>
              <w:top w:val="nil"/>
              <w:left w:val="single" w:sz="8" w:space="0" w:color="auto"/>
              <w:bottom w:val="single" w:sz="8" w:space="0" w:color="auto"/>
              <w:right w:val="single" w:sz="8" w:space="0" w:color="auto"/>
            </w:tcBorders>
            <w:vAlign w:val="bottom"/>
          </w:tcPr>
          <w:p w14:paraId="7B0CD6D7" w14:textId="77777777" w:rsidR="00186A8D" w:rsidRPr="00F471BA" w:rsidRDefault="00186A8D" w:rsidP="0098154A">
            <w:pPr>
              <w:spacing w:before="240" w:after="200" w:line="276" w:lineRule="auto"/>
              <w:jc w:val="both"/>
              <w:rPr>
                <w:rFonts w:ascii="Times New Roman" w:eastAsia="Times New Roman" w:hAnsi="Times New Roman" w:cs="Times New Roman"/>
                <w:b/>
                <w:bCs/>
                <w:color w:val="000000"/>
                <w:kern w:val="0"/>
                <w:sz w:val="24"/>
                <w:szCs w:val="24"/>
                <w:lang w:eastAsia="cs-CZ"/>
                <w14:ligatures w14:val="none"/>
              </w:rPr>
            </w:pPr>
            <w:proofErr w:type="gramStart"/>
            <w:r w:rsidRPr="00F471BA">
              <w:rPr>
                <w:rFonts w:ascii="Times New Roman" w:eastAsia="Times New Roman" w:hAnsi="Times New Roman" w:cs="Times New Roman"/>
                <w:b/>
                <w:bCs/>
                <w:color w:val="000000"/>
                <w:kern w:val="0"/>
                <w:sz w:val="24"/>
                <w:szCs w:val="24"/>
                <w:lang w:eastAsia="cs-CZ"/>
                <w14:ligatures w14:val="none"/>
              </w:rPr>
              <w:t>KVP  (</w:t>
            </w:r>
            <w:proofErr w:type="gramEnd"/>
            <w:r w:rsidRPr="00F471BA">
              <w:rPr>
                <w:rFonts w:ascii="Times New Roman" w:eastAsia="Times New Roman" w:hAnsi="Times New Roman" w:cs="Times New Roman"/>
                <w:b/>
                <w:bCs/>
                <w:color w:val="000000"/>
                <w:kern w:val="0"/>
                <w:sz w:val="24"/>
                <w:szCs w:val="24"/>
                <w:lang w:eastAsia="cs-CZ"/>
                <w14:ligatures w14:val="none"/>
              </w:rPr>
              <w:t>cm)</w:t>
            </w:r>
          </w:p>
        </w:tc>
        <w:tc>
          <w:tcPr>
            <w:tcW w:w="847" w:type="dxa"/>
            <w:tcBorders>
              <w:top w:val="nil"/>
              <w:left w:val="nil"/>
              <w:bottom w:val="single" w:sz="8" w:space="0" w:color="auto"/>
              <w:right w:val="single" w:sz="8" w:space="0" w:color="auto"/>
            </w:tcBorders>
            <w:vAlign w:val="bottom"/>
          </w:tcPr>
          <w:p w14:paraId="369AEFA4" w14:textId="77777777" w:rsidR="00186A8D" w:rsidRPr="00F471BA" w:rsidRDefault="00186A8D" w:rsidP="0098154A">
            <w:pPr>
              <w:spacing w:before="240" w:after="200" w:line="276" w:lineRule="auto"/>
              <w:jc w:val="center"/>
              <w:rPr>
                <w:rFonts w:ascii="Times New Roman" w:eastAsia="Times New Roman" w:hAnsi="Times New Roman" w:cs="Times New Roman"/>
                <w:b/>
                <w:bCs/>
                <w:color w:val="000000"/>
                <w:kern w:val="0"/>
                <w:sz w:val="26"/>
                <w:szCs w:val="26"/>
                <w:lang w:eastAsia="cs-CZ"/>
                <w14:ligatures w14:val="none"/>
              </w:rPr>
            </w:pPr>
            <w:r w:rsidRPr="00F471BA">
              <w:rPr>
                <w:rFonts w:ascii="Times New Roman" w:eastAsia="Times New Roman" w:hAnsi="Times New Roman" w:cs="Times New Roman"/>
                <w:b/>
                <w:bCs/>
                <w:color w:val="000000"/>
                <w:kern w:val="0"/>
                <w:sz w:val="26"/>
                <w:szCs w:val="26"/>
                <w:lang w:eastAsia="cs-CZ"/>
                <w14:ligatures w14:val="none"/>
              </w:rPr>
              <w:t>170</w:t>
            </w:r>
          </w:p>
        </w:tc>
        <w:tc>
          <w:tcPr>
            <w:tcW w:w="807" w:type="dxa"/>
            <w:tcBorders>
              <w:top w:val="nil"/>
              <w:left w:val="nil"/>
              <w:bottom w:val="single" w:sz="8" w:space="0" w:color="auto"/>
              <w:right w:val="single" w:sz="8" w:space="0" w:color="auto"/>
            </w:tcBorders>
            <w:vAlign w:val="bottom"/>
          </w:tcPr>
          <w:p w14:paraId="70E83207" w14:textId="77777777" w:rsidR="00186A8D" w:rsidRPr="00F471BA" w:rsidRDefault="00186A8D" w:rsidP="0098154A">
            <w:pPr>
              <w:spacing w:before="240" w:after="200" w:line="276" w:lineRule="auto"/>
              <w:jc w:val="center"/>
              <w:rPr>
                <w:rFonts w:ascii="Times New Roman" w:eastAsia="Times New Roman" w:hAnsi="Times New Roman" w:cs="Times New Roman"/>
                <w:b/>
                <w:bCs/>
                <w:color w:val="000000"/>
                <w:kern w:val="0"/>
                <w:sz w:val="26"/>
                <w:szCs w:val="26"/>
                <w:lang w:eastAsia="cs-CZ"/>
                <w14:ligatures w14:val="none"/>
              </w:rPr>
            </w:pPr>
            <w:r w:rsidRPr="00F471BA">
              <w:rPr>
                <w:rFonts w:ascii="Times New Roman" w:eastAsia="Times New Roman" w:hAnsi="Times New Roman" w:cs="Times New Roman"/>
                <w:b/>
                <w:bCs/>
                <w:color w:val="000000"/>
                <w:kern w:val="0"/>
                <w:sz w:val="26"/>
                <w:szCs w:val="26"/>
                <w:lang w:eastAsia="cs-CZ"/>
                <w14:ligatures w14:val="none"/>
              </w:rPr>
              <w:t>168</w:t>
            </w:r>
          </w:p>
        </w:tc>
      </w:tr>
      <w:tr w:rsidR="00186A8D" w:rsidRPr="00F471BA" w14:paraId="214E9E6F" w14:textId="77777777" w:rsidTr="0098154A">
        <w:trPr>
          <w:trHeight w:val="330"/>
          <w:jc w:val="center"/>
        </w:trPr>
        <w:tc>
          <w:tcPr>
            <w:tcW w:w="3439" w:type="dxa"/>
            <w:tcBorders>
              <w:top w:val="nil"/>
              <w:left w:val="single" w:sz="8" w:space="0" w:color="auto"/>
              <w:bottom w:val="single" w:sz="8" w:space="0" w:color="auto"/>
              <w:right w:val="single" w:sz="8" w:space="0" w:color="auto"/>
            </w:tcBorders>
            <w:vAlign w:val="bottom"/>
          </w:tcPr>
          <w:p w14:paraId="65C3B507" w14:textId="77777777" w:rsidR="00186A8D" w:rsidRPr="00F471BA" w:rsidRDefault="00186A8D" w:rsidP="0098154A">
            <w:pPr>
              <w:spacing w:before="240" w:after="200" w:line="276" w:lineRule="auto"/>
              <w:jc w:val="both"/>
              <w:rPr>
                <w:rFonts w:ascii="Times New Roman" w:eastAsia="Times New Roman" w:hAnsi="Times New Roman" w:cs="Times New Roman"/>
                <w:b/>
                <w:bCs/>
                <w:color w:val="000000"/>
                <w:kern w:val="0"/>
                <w:sz w:val="24"/>
                <w:szCs w:val="24"/>
                <w:lang w:eastAsia="cs-CZ"/>
                <w14:ligatures w14:val="none"/>
              </w:rPr>
            </w:pPr>
            <w:r w:rsidRPr="00F471BA">
              <w:rPr>
                <w:rFonts w:ascii="Times New Roman" w:eastAsia="Times New Roman" w:hAnsi="Times New Roman" w:cs="Times New Roman"/>
                <w:b/>
                <w:bCs/>
                <w:color w:val="000000"/>
                <w:kern w:val="0"/>
                <w:sz w:val="24"/>
                <w:szCs w:val="24"/>
                <w:lang w:eastAsia="cs-CZ"/>
                <w14:ligatures w14:val="none"/>
              </w:rPr>
              <w:t>KVH (cm)</w:t>
            </w:r>
          </w:p>
        </w:tc>
        <w:tc>
          <w:tcPr>
            <w:tcW w:w="847" w:type="dxa"/>
            <w:tcBorders>
              <w:top w:val="nil"/>
              <w:left w:val="nil"/>
              <w:bottom w:val="single" w:sz="8" w:space="0" w:color="auto"/>
              <w:right w:val="single" w:sz="8" w:space="0" w:color="auto"/>
            </w:tcBorders>
            <w:vAlign w:val="bottom"/>
          </w:tcPr>
          <w:p w14:paraId="2004AE81" w14:textId="77777777" w:rsidR="00186A8D" w:rsidRPr="00F471BA" w:rsidRDefault="00186A8D" w:rsidP="0098154A">
            <w:pPr>
              <w:spacing w:before="240" w:after="200" w:line="276" w:lineRule="auto"/>
              <w:jc w:val="center"/>
              <w:rPr>
                <w:rFonts w:ascii="Times New Roman" w:eastAsia="Times New Roman" w:hAnsi="Times New Roman" w:cs="Times New Roman"/>
                <w:b/>
                <w:bCs/>
                <w:color w:val="000000"/>
                <w:kern w:val="0"/>
                <w:sz w:val="26"/>
                <w:szCs w:val="26"/>
                <w:lang w:eastAsia="cs-CZ"/>
                <w14:ligatures w14:val="none"/>
              </w:rPr>
            </w:pPr>
            <w:r w:rsidRPr="00F471BA">
              <w:rPr>
                <w:rFonts w:ascii="Times New Roman" w:eastAsia="Times New Roman" w:hAnsi="Times New Roman" w:cs="Times New Roman"/>
                <w:b/>
                <w:bCs/>
                <w:color w:val="000000"/>
                <w:kern w:val="0"/>
                <w:sz w:val="26"/>
                <w:szCs w:val="26"/>
                <w:lang w:eastAsia="cs-CZ"/>
                <w14:ligatures w14:val="none"/>
              </w:rPr>
              <w:t>161</w:t>
            </w:r>
          </w:p>
        </w:tc>
        <w:tc>
          <w:tcPr>
            <w:tcW w:w="807" w:type="dxa"/>
            <w:tcBorders>
              <w:top w:val="nil"/>
              <w:left w:val="nil"/>
              <w:bottom w:val="single" w:sz="8" w:space="0" w:color="auto"/>
              <w:right w:val="single" w:sz="8" w:space="0" w:color="auto"/>
            </w:tcBorders>
            <w:vAlign w:val="bottom"/>
          </w:tcPr>
          <w:p w14:paraId="6EA73FFC" w14:textId="77777777" w:rsidR="00186A8D" w:rsidRPr="00F471BA" w:rsidRDefault="00186A8D" w:rsidP="0098154A">
            <w:pPr>
              <w:spacing w:before="240" w:after="200" w:line="276" w:lineRule="auto"/>
              <w:jc w:val="center"/>
              <w:rPr>
                <w:rFonts w:ascii="Times New Roman" w:eastAsia="Times New Roman" w:hAnsi="Times New Roman" w:cs="Times New Roman"/>
                <w:b/>
                <w:bCs/>
                <w:color w:val="000000"/>
                <w:kern w:val="0"/>
                <w:sz w:val="26"/>
                <w:szCs w:val="26"/>
                <w:lang w:eastAsia="cs-CZ"/>
                <w14:ligatures w14:val="none"/>
              </w:rPr>
            </w:pPr>
            <w:r w:rsidRPr="00F471BA">
              <w:rPr>
                <w:rFonts w:ascii="Times New Roman" w:eastAsia="Times New Roman" w:hAnsi="Times New Roman" w:cs="Times New Roman"/>
                <w:b/>
                <w:bCs/>
                <w:color w:val="000000"/>
                <w:kern w:val="0"/>
                <w:sz w:val="26"/>
                <w:szCs w:val="26"/>
                <w:lang w:eastAsia="cs-CZ"/>
                <w14:ligatures w14:val="none"/>
              </w:rPr>
              <w:t>159</w:t>
            </w:r>
          </w:p>
        </w:tc>
      </w:tr>
      <w:tr w:rsidR="00186A8D" w:rsidRPr="00F471BA" w14:paraId="4EE44F7D" w14:textId="77777777" w:rsidTr="0098154A">
        <w:trPr>
          <w:trHeight w:val="645"/>
          <w:jc w:val="center"/>
        </w:trPr>
        <w:tc>
          <w:tcPr>
            <w:tcW w:w="3439" w:type="dxa"/>
            <w:tcBorders>
              <w:top w:val="nil"/>
              <w:left w:val="single" w:sz="8" w:space="0" w:color="auto"/>
              <w:bottom w:val="single" w:sz="8" w:space="0" w:color="auto"/>
              <w:right w:val="single" w:sz="8" w:space="0" w:color="auto"/>
            </w:tcBorders>
            <w:vAlign w:val="bottom"/>
          </w:tcPr>
          <w:p w14:paraId="6020D3C6" w14:textId="77777777" w:rsidR="00186A8D" w:rsidRPr="00F471BA" w:rsidRDefault="00186A8D" w:rsidP="0098154A">
            <w:pPr>
              <w:spacing w:before="240" w:after="200" w:line="276" w:lineRule="auto"/>
              <w:jc w:val="both"/>
              <w:rPr>
                <w:rFonts w:ascii="Times New Roman" w:eastAsia="Times New Roman" w:hAnsi="Times New Roman" w:cs="Times New Roman"/>
                <w:b/>
                <w:bCs/>
                <w:color w:val="000000"/>
                <w:kern w:val="0"/>
                <w:sz w:val="24"/>
                <w:szCs w:val="24"/>
                <w:lang w:eastAsia="cs-CZ"/>
                <w14:ligatures w14:val="none"/>
              </w:rPr>
            </w:pPr>
            <w:r w:rsidRPr="00F471BA">
              <w:rPr>
                <w:rFonts w:ascii="Times New Roman" w:eastAsia="Times New Roman" w:hAnsi="Times New Roman" w:cs="Times New Roman"/>
                <w:b/>
                <w:bCs/>
                <w:color w:val="000000"/>
                <w:kern w:val="0"/>
                <w:sz w:val="24"/>
                <w:szCs w:val="24"/>
                <w:lang w:eastAsia="cs-CZ"/>
                <w14:ligatures w14:val="none"/>
              </w:rPr>
              <w:t>Obvod hrudi OH (cm)</w:t>
            </w:r>
          </w:p>
        </w:tc>
        <w:tc>
          <w:tcPr>
            <w:tcW w:w="847" w:type="dxa"/>
            <w:tcBorders>
              <w:top w:val="nil"/>
              <w:left w:val="nil"/>
              <w:bottom w:val="single" w:sz="8" w:space="0" w:color="auto"/>
              <w:right w:val="single" w:sz="8" w:space="0" w:color="auto"/>
            </w:tcBorders>
            <w:vAlign w:val="bottom"/>
          </w:tcPr>
          <w:p w14:paraId="66694FC2" w14:textId="77777777" w:rsidR="00186A8D" w:rsidRPr="00F471BA" w:rsidRDefault="00186A8D" w:rsidP="0098154A">
            <w:pPr>
              <w:spacing w:before="240" w:after="200" w:line="276" w:lineRule="auto"/>
              <w:jc w:val="center"/>
              <w:rPr>
                <w:rFonts w:ascii="Times New Roman" w:eastAsia="Times New Roman" w:hAnsi="Times New Roman" w:cs="Times New Roman"/>
                <w:b/>
                <w:bCs/>
                <w:color w:val="000000"/>
                <w:kern w:val="0"/>
                <w:sz w:val="26"/>
                <w:szCs w:val="26"/>
                <w:lang w:eastAsia="cs-CZ"/>
                <w14:ligatures w14:val="none"/>
              </w:rPr>
            </w:pPr>
            <w:r w:rsidRPr="00F471BA">
              <w:rPr>
                <w:rFonts w:ascii="Times New Roman" w:eastAsia="Times New Roman" w:hAnsi="Times New Roman" w:cs="Times New Roman"/>
                <w:b/>
                <w:bCs/>
                <w:color w:val="000000"/>
                <w:kern w:val="0"/>
                <w:sz w:val="26"/>
                <w:szCs w:val="26"/>
                <w:lang w:eastAsia="cs-CZ"/>
                <w14:ligatures w14:val="none"/>
              </w:rPr>
              <w:t>183</w:t>
            </w:r>
          </w:p>
        </w:tc>
        <w:tc>
          <w:tcPr>
            <w:tcW w:w="807" w:type="dxa"/>
            <w:tcBorders>
              <w:top w:val="nil"/>
              <w:left w:val="nil"/>
              <w:bottom w:val="single" w:sz="8" w:space="0" w:color="auto"/>
              <w:right w:val="single" w:sz="8" w:space="0" w:color="auto"/>
            </w:tcBorders>
            <w:vAlign w:val="bottom"/>
          </w:tcPr>
          <w:p w14:paraId="7125B6D7" w14:textId="77777777" w:rsidR="00186A8D" w:rsidRPr="00F471BA" w:rsidRDefault="00186A8D" w:rsidP="0098154A">
            <w:pPr>
              <w:spacing w:before="240" w:after="200" w:line="276" w:lineRule="auto"/>
              <w:jc w:val="center"/>
              <w:rPr>
                <w:rFonts w:ascii="Times New Roman" w:eastAsia="Times New Roman" w:hAnsi="Times New Roman" w:cs="Times New Roman"/>
                <w:b/>
                <w:bCs/>
                <w:color w:val="000000"/>
                <w:kern w:val="0"/>
                <w:sz w:val="26"/>
                <w:szCs w:val="26"/>
                <w:lang w:eastAsia="cs-CZ"/>
                <w14:ligatures w14:val="none"/>
              </w:rPr>
            </w:pPr>
            <w:r w:rsidRPr="00F471BA">
              <w:rPr>
                <w:rFonts w:ascii="Times New Roman" w:eastAsia="Times New Roman" w:hAnsi="Times New Roman" w:cs="Times New Roman"/>
                <w:b/>
                <w:bCs/>
                <w:color w:val="000000"/>
                <w:kern w:val="0"/>
                <w:sz w:val="26"/>
                <w:szCs w:val="26"/>
                <w:lang w:eastAsia="cs-CZ"/>
                <w14:ligatures w14:val="none"/>
              </w:rPr>
              <w:t>185</w:t>
            </w:r>
          </w:p>
        </w:tc>
      </w:tr>
      <w:tr w:rsidR="00186A8D" w:rsidRPr="00F471BA" w14:paraId="65ABFF9D" w14:textId="77777777" w:rsidTr="0098154A">
        <w:trPr>
          <w:trHeight w:val="645"/>
          <w:jc w:val="center"/>
        </w:trPr>
        <w:tc>
          <w:tcPr>
            <w:tcW w:w="3439" w:type="dxa"/>
            <w:tcBorders>
              <w:top w:val="nil"/>
              <w:left w:val="single" w:sz="8" w:space="0" w:color="auto"/>
              <w:bottom w:val="double" w:sz="6" w:space="0" w:color="auto"/>
              <w:right w:val="single" w:sz="8" w:space="0" w:color="auto"/>
            </w:tcBorders>
            <w:vAlign w:val="bottom"/>
          </w:tcPr>
          <w:p w14:paraId="27CA5224" w14:textId="77777777" w:rsidR="00186A8D" w:rsidRPr="00F471BA" w:rsidRDefault="00186A8D" w:rsidP="0098154A">
            <w:pPr>
              <w:spacing w:before="240" w:after="200" w:line="276" w:lineRule="auto"/>
              <w:jc w:val="both"/>
              <w:rPr>
                <w:rFonts w:ascii="Times New Roman" w:eastAsia="Times New Roman" w:hAnsi="Times New Roman" w:cs="Times New Roman"/>
                <w:b/>
                <w:bCs/>
                <w:color w:val="000000"/>
                <w:kern w:val="0"/>
                <w:sz w:val="24"/>
                <w:szCs w:val="24"/>
                <w:lang w:eastAsia="cs-CZ"/>
                <w14:ligatures w14:val="none"/>
              </w:rPr>
            </w:pPr>
            <w:r w:rsidRPr="00F471BA">
              <w:rPr>
                <w:rFonts w:ascii="Times New Roman" w:eastAsia="Times New Roman" w:hAnsi="Times New Roman" w:cs="Times New Roman"/>
                <w:b/>
                <w:bCs/>
                <w:color w:val="000000"/>
                <w:kern w:val="0"/>
                <w:sz w:val="24"/>
                <w:szCs w:val="24"/>
                <w:lang w:eastAsia="cs-CZ"/>
                <w14:ligatures w14:val="none"/>
              </w:rPr>
              <w:t xml:space="preserve">Obvod </w:t>
            </w:r>
            <w:proofErr w:type="gramStart"/>
            <w:r w:rsidRPr="00F471BA">
              <w:rPr>
                <w:rFonts w:ascii="Times New Roman" w:eastAsia="Times New Roman" w:hAnsi="Times New Roman" w:cs="Times New Roman"/>
                <w:b/>
                <w:bCs/>
                <w:color w:val="000000"/>
                <w:kern w:val="0"/>
                <w:sz w:val="24"/>
                <w:szCs w:val="24"/>
                <w:lang w:eastAsia="cs-CZ"/>
                <w14:ligatures w14:val="none"/>
              </w:rPr>
              <w:t>holeně  OHOL</w:t>
            </w:r>
            <w:proofErr w:type="gramEnd"/>
            <w:r w:rsidRPr="00F471BA">
              <w:rPr>
                <w:rFonts w:ascii="Times New Roman" w:eastAsia="Times New Roman" w:hAnsi="Times New Roman" w:cs="Times New Roman"/>
                <w:b/>
                <w:bCs/>
                <w:color w:val="000000"/>
                <w:kern w:val="0"/>
                <w:sz w:val="24"/>
                <w:szCs w:val="24"/>
                <w:lang w:eastAsia="cs-CZ"/>
                <w14:ligatures w14:val="none"/>
              </w:rPr>
              <w:t xml:space="preserve"> (cm)</w:t>
            </w:r>
          </w:p>
        </w:tc>
        <w:tc>
          <w:tcPr>
            <w:tcW w:w="847" w:type="dxa"/>
            <w:tcBorders>
              <w:top w:val="nil"/>
              <w:left w:val="nil"/>
              <w:bottom w:val="double" w:sz="6" w:space="0" w:color="auto"/>
              <w:right w:val="single" w:sz="8" w:space="0" w:color="auto"/>
            </w:tcBorders>
            <w:vAlign w:val="bottom"/>
          </w:tcPr>
          <w:p w14:paraId="17BDFFDB" w14:textId="77777777" w:rsidR="00186A8D" w:rsidRPr="00F471BA" w:rsidRDefault="00186A8D" w:rsidP="0098154A">
            <w:pPr>
              <w:spacing w:before="240" w:after="200" w:line="276" w:lineRule="auto"/>
              <w:jc w:val="center"/>
              <w:rPr>
                <w:rFonts w:ascii="Times New Roman" w:eastAsia="Times New Roman" w:hAnsi="Times New Roman" w:cs="Times New Roman"/>
                <w:b/>
                <w:bCs/>
                <w:color w:val="000000"/>
                <w:kern w:val="0"/>
                <w:sz w:val="26"/>
                <w:szCs w:val="26"/>
                <w:lang w:eastAsia="cs-CZ"/>
                <w14:ligatures w14:val="none"/>
              </w:rPr>
            </w:pPr>
            <w:r w:rsidRPr="00F471BA">
              <w:rPr>
                <w:rFonts w:ascii="Times New Roman" w:eastAsia="Times New Roman" w:hAnsi="Times New Roman" w:cs="Times New Roman"/>
                <w:b/>
                <w:bCs/>
                <w:color w:val="000000"/>
                <w:kern w:val="0"/>
                <w:sz w:val="26"/>
                <w:szCs w:val="26"/>
                <w:lang w:eastAsia="cs-CZ"/>
                <w14:ligatures w14:val="none"/>
              </w:rPr>
              <w:t>20</w:t>
            </w:r>
          </w:p>
        </w:tc>
        <w:tc>
          <w:tcPr>
            <w:tcW w:w="807" w:type="dxa"/>
            <w:tcBorders>
              <w:top w:val="nil"/>
              <w:left w:val="nil"/>
              <w:bottom w:val="double" w:sz="6" w:space="0" w:color="auto"/>
              <w:right w:val="single" w:sz="8" w:space="0" w:color="auto"/>
            </w:tcBorders>
            <w:vAlign w:val="bottom"/>
          </w:tcPr>
          <w:p w14:paraId="6F0D20B0" w14:textId="77777777" w:rsidR="00186A8D" w:rsidRPr="00F471BA" w:rsidRDefault="00186A8D" w:rsidP="0098154A">
            <w:pPr>
              <w:spacing w:before="240" w:after="200" w:line="276" w:lineRule="auto"/>
              <w:jc w:val="center"/>
              <w:rPr>
                <w:rFonts w:ascii="Times New Roman" w:eastAsia="Times New Roman" w:hAnsi="Times New Roman" w:cs="Times New Roman"/>
                <w:b/>
                <w:bCs/>
                <w:color w:val="000000"/>
                <w:kern w:val="0"/>
                <w:sz w:val="26"/>
                <w:szCs w:val="26"/>
                <w:lang w:eastAsia="cs-CZ"/>
                <w14:ligatures w14:val="none"/>
              </w:rPr>
            </w:pPr>
            <w:r w:rsidRPr="00F471BA">
              <w:rPr>
                <w:rFonts w:ascii="Times New Roman" w:eastAsia="Times New Roman" w:hAnsi="Times New Roman" w:cs="Times New Roman"/>
                <w:b/>
                <w:bCs/>
                <w:color w:val="000000"/>
                <w:kern w:val="0"/>
                <w:sz w:val="26"/>
                <w:szCs w:val="26"/>
                <w:lang w:eastAsia="cs-CZ"/>
                <w14:ligatures w14:val="none"/>
              </w:rPr>
              <w:t>19</w:t>
            </w:r>
          </w:p>
        </w:tc>
      </w:tr>
    </w:tbl>
    <w:p w14:paraId="37E273FA" w14:textId="77777777" w:rsidR="00F3536A" w:rsidRDefault="00F3536A"/>
    <w:sectPr w:rsidR="00F35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999"/>
    <w:multiLevelType w:val="multilevel"/>
    <w:tmpl w:val="D54443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5714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81"/>
    <w:rsid w:val="00186A8D"/>
    <w:rsid w:val="00523139"/>
    <w:rsid w:val="00885281"/>
    <w:rsid w:val="00B7314E"/>
    <w:rsid w:val="00B76193"/>
    <w:rsid w:val="00F35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66D24-84F5-4E88-8341-3F5F3C31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6A8D"/>
  </w:style>
  <w:style w:type="paragraph" w:styleId="Nadpis1">
    <w:name w:val="heading 1"/>
    <w:basedOn w:val="Normln"/>
    <w:next w:val="Normln"/>
    <w:link w:val="Nadpis1Char"/>
    <w:qFormat/>
    <w:rsid w:val="00885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85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8528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8528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8528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8528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8528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8528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8528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528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88528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8528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8528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8528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8528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8528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8528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85281"/>
    <w:rPr>
      <w:rFonts w:eastAsiaTheme="majorEastAsia" w:cstheme="majorBidi"/>
      <w:color w:val="272727" w:themeColor="text1" w:themeTint="D8"/>
    </w:rPr>
  </w:style>
  <w:style w:type="paragraph" w:styleId="Nzev">
    <w:name w:val="Title"/>
    <w:basedOn w:val="Normln"/>
    <w:next w:val="Normln"/>
    <w:link w:val="NzevChar"/>
    <w:uiPriority w:val="10"/>
    <w:qFormat/>
    <w:rsid w:val="00885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8528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8528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8528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85281"/>
    <w:pPr>
      <w:spacing w:before="160"/>
      <w:jc w:val="center"/>
    </w:pPr>
    <w:rPr>
      <w:i/>
      <w:iCs/>
      <w:color w:val="404040" w:themeColor="text1" w:themeTint="BF"/>
    </w:rPr>
  </w:style>
  <w:style w:type="character" w:customStyle="1" w:styleId="CittChar">
    <w:name w:val="Citát Char"/>
    <w:basedOn w:val="Standardnpsmoodstavce"/>
    <w:link w:val="Citt"/>
    <w:uiPriority w:val="29"/>
    <w:rsid w:val="00885281"/>
    <w:rPr>
      <w:i/>
      <w:iCs/>
      <w:color w:val="404040" w:themeColor="text1" w:themeTint="BF"/>
    </w:rPr>
  </w:style>
  <w:style w:type="paragraph" w:styleId="Odstavecseseznamem">
    <w:name w:val="List Paragraph"/>
    <w:basedOn w:val="Normln"/>
    <w:uiPriority w:val="34"/>
    <w:qFormat/>
    <w:rsid w:val="00885281"/>
    <w:pPr>
      <w:ind w:left="720"/>
      <w:contextualSpacing/>
    </w:pPr>
  </w:style>
  <w:style w:type="character" w:styleId="Zdraznnintenzivn">
    <w:name w:val="Intense Emphasis"/>
    <w:basedOn w:val="Standardnpsmoodstavce"/>
    <w:uiPriority w:val="21"/>
    <w:qFormat/>
    <w:rsid w:val="00885281"/>
    <w:rPr>
      <w:i/>
      <w:iCs/>
      <w:color w:val="0F4761" w:themeColor="accent1" w:themeShade="BF"/>
    </w:rPr>
  </w:style>
  <w:style w:type="paragraph" w:styleId="Vrazncitt">
    <w:name w:val="Intense Quote"/>
    <w:basedOn w:val="Normln"/>
    <w:next w:val="Normln"/>
    <w:link w:val="VrazncittChar"/>
    <w:uiPriority w:val="30"/>
    <w:qFormat/>
    <w:rsid w:val="00885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85281"/>
    <w:rPr>
      <w:i/>
      <w:iCs/>
      <w:color w:val="0F4761" w:themeColor="accent1" w:themeShade="BF"/>
    </w:rPr>
  </w:style>
  <w:style w:type="character" w:styleId="Odkazintenzivn">
    <w:name w:val="Intense Reference"/>
    <w:basedOn w:val="Standardnpsmoodstavce"/>
    <w:uiPriority w:val="32"/>
    <w:qFormat/>
    <w:rsid w:val="008852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2393</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Urbanová</dc:creator>
  <cp:keywords/>
  <dc:description/>
  <cp:lastModifiedBy>Marie Urbanová</cp:lastModifiedBy>
  <cp:revision>2</cp:revision>
  <dcterms:created xsi:type="dcterms:W3CDTF">2026-06-03T12:44:00Z</dcterms:created>
  <dcterms:modified xsi:type="dcterms:W3CDTF">2026-06-03T12:45:00Z</dcterms:modified>
</cp:coreProperties>
</file>